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CC" w:rsidRPr="001B5315" w:rsidRDefault="001B5315" w:rsidP="001B5315">
      <w:pPr>
        <w:jc w:val="center"/>
        <w:rPr>
          <w:b/>
        </w:rPr>
      </w:pPr>
      <w:r w:rsidRPr="001B5315">
        <w:rPr>
          <w:b/>
        </w:rPr>
        <w:t>Bromesberrow St. Mary's Church of England School</w:t>
      </w:r>
    </w:p>
    <w:p w:rsidR="001B5315" w:rsidRPr="001B5315" w:rsidRDefault="001B5315" w:rsidP="001B5315">
      <w:pPr>
        <w:jc w:val="center"/>
        <w:rPr>
          <w:b/>
        </w:rPr>
      </w:pPr>
      <w:r w:rsidRPr="001B5315">
        <w:rPr>
          <w:b/>
        </w:rPr>
        <w:t>Governor Action Plan 2018-19</w:t>
      </w:r>
    </w:p>
    <w:p w:rsidR="001B5315" w:rsidRDefault="001B5315" w:rsidP="001B5315">
      <w:r>
        <w:t xml:space="preserve">The purpose of governance is to provide confident, strategic leadership and to create robust accountability, oversight and assurance for educational and financial performance at Bromesberrow St. Mary's School. </w:t>
      </w:r>
    </w:p>
    <w:p w:rsidR="001B5315" w:rsidRDefault="001B5315" w:rsidP="001B5315">
      <w:r>
        <w:t xml:space="preserve">The Governing Body at Bromesberrow St. Mary's School has three core functions: </w:t>
      </w:r>
    </w:p>
    <w:p w:rsidR="001B5315" w:rsidRDefault="001B5315" w:rsidP="001B5315">
      <w:pPr>
        <w:pStyle w:val="ListParagraph"/>
        <w:numPr>
          <w:ilvl w:val="0"/>
          <w:numId w:val="5"/>
        </w:numPr>
      </w:pPr>
      <w:r>
        <w:t>Ensuring clarity of vision, ethos and strategic direction</w:t>
      </w:r>
    </w:p>
    <w:p w:rsidR="001B5315" w:rsidRDefault="001B5315" w:rsidP="001B5315">
      <w:pPr>
        <w:pStyle w:val="ListParagraph"/>
        <w:numPr>
          <w:ilvl w:val="0"/>
          <w:numId w:val="5"/>
        </w:numPr>
      </w:pPr>
      <w:r>
        <w:t>Holding leaders to account for the educational performance of the organisation and its pupils, and</w:t>
      </w:r>
    </w:p>
    <w:p w:rsidR="001B5315" w:rsidRDefault="001B5315" w:rsidP="001B5315">
      <w:pPr>
        <w:pStyle w:val="ListParagraph"/>
        <w:numPr>
          <w:ilvl w:val="0"/>
          <w:numId w:val="5"/>
        </w:numPr>
      </w:pPr>
      <w:r>
        <w:t>Overseeing the financial performance of the organisation and making sure its money is well spent.</w:t>
      </w:r>
    </w:p>
    <w:p w:rsidR="001B5315" w:rsidRDefault="001B5315" w:rsidP="001B5315"/>
    <w:tbl>
      <w:tblPr>
        <w:tblStyle w:val="TableGrid"/>
        <w:tblW w:w="13974" w:type="dxa"/>
        <w:tblLook w:val="04A0"/>
      </w:tblPr>
      <w:tblGrid>
        <w:gridCol w:w="2555"/>
        <w:gridCol w:w="3363"/>
        <w:gridCol w:w="1896"/>
        <w:gridCol w:w="2753"/>
        <w:gridCol w:w="3407"/>
      </w:tblGrid>
      <w:tr w:rsidR="001B5315" w:rsidRPr="007800DD" w:rsidTr="00C40199">
        <w:tc>
          <w:tcPr>
            <w:tcW w:w="2555" w:type="dxa"/>
            <w:hideMark/>
          </w:tcPr>
          <w:p w:rsidR="001B5315" w:rsidRPr="007800DD" w:rsidRDefault="001B5315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 w:rsidRPr="007800DD">
              <w:rPr>
                <w:rFonts w:eastAsia="Times New Roman" w:cstheme="minorHAnsi"/>
                <w:b/>
                <w:bCs/>
                <w:lang w:eastAsia="en-GB"/>
              </w:rPr>
              <w:t>Objective</w:t>
            </w:r>
            <w:r w:rsidRPr="007800D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363" w:type="dxa"/>
            <w:hideMark/>
          </w:tcPr>
          <w:p w:rsidR="001B5315" w:rsidRPr="007800DD" w:rsidRDefault="001B5315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 w:rsidRPr="007800DD">
              <w:rPr>
                <w:rFonts w:eastAsia="Times New Roman" w:cstheme="minorHAnsi"/>
                <w:b/>
                <w:bCs/>
                <w:lang w:eastAsia="en-GB"/>
              </w:rPr>
              <w:t>Impact:  How will you know?  What do you want to see?</w:t>
            </w:r>
            <w:r w:rsidRPr="007800D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896" w:type="dxa"/>
            <w:hideMark/>
          </w:tcPr>
          <w:p w:rsidR="001B5315" w:rsidRPr="007800DD" w:rsidRDefault="001B5315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 w:rsidRPr="007800DD">
              <w:rPr>
                <w:rFonts w:eastAsia="Times New Roman" w:cstheme="minorHAnsi"/>
                <w:b/>
                <w:bCs/>
                <w:lang w:eastAsia="en-GB"/>
              </w:rPr>
              <w:t>Date</w:t>
            </w:r>
            <w:r w:rsidRPr="007800D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753" w:type="dxa"/>
            <w:hideMark/>
          </w:tcPr>
          <w:p w:rsidR="001B5315" w:rsidRPr="007800DD" w:rsidRDefault="001B5315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 w:rsidRPr="007800DD">
              <w:rPr>
                <w:rFonts w:eastAsia="Times New Roman" w:cstheme="minorHAnsi"/>
                <w:b/>
                <w:bCs/>
                <w:lang w:eastAsia="en-GB"/>
              </w:rPr>
              <w:t>Specific actions and responsibility</w:t>
            </w:r>
            <w:r w:rsidRPr="007800D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407" w:type="dxa"/>
            <w:hideMark/>
          </w:tcPr>
          <w:p w:rsidR="001B5315" w:rsidRPr="007800DD" w:rsidRDefault="001B5315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 w:rsidRPr="007800DD">
              <w:rPr>
                <w:rFonts w:eastAsia="Times New Roman" w:cstheme="minorHAnsi"/>
                <w:b/>
                <w:bCs/>
                <w:lang w:eastAsia="en-GB"/>
              </w:rPr>
              <w:t>Monitoring</w:t>
            </w:r>
            <w:r w:rsidRPr="007800DD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1B5315" w:rsidRPr="007800DD" w:rsidTr="007800DD">
        <w:trPr>
          <w:trHeight w:val="2379"/>
        </w:trPr>
        <w:tc>
          <w:tcPr>
            <w:tcW w:w="2555" w:type="dxa"/>
            <w:hideMark/>
          </w:tcPr>
          <w:p w:rsidR="001B5315" w:rsidRPr="007800DD" w:rsidRDefault="001B5315" w:rsidP="007800DD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 w:rsidRPr="007800DD">
              <w:rPr>
                <w:rFonts w:cstheme="minorHAnsi"/>
              </w:rPr>
              <w:t>Consolidate roles and responsibilities for all governors. Safeguarding, Vulnerable (SEN, PP, GRT, Attendance), finance, H&amp;S, curriculu</w:t>
            </w:r>
            <w:r w:rsidR="007800DD" w:rsidRPr="007800DD">
              <w:rPr>
                <w:rFonts w:cstheme="minorHAnsi"/>
              </w:rPr>
              <w:t>m</w:t>
            </w:r>
          </w:p>
        </w:tc>
        <w:tc>
          <w:tcPr>
            <w:tcW w:w="3363" w:type="dxa"/>
            <w:hideMark/>
          </w:tcPr>
          <w:p w:rsidR="001B5315" w:rsidRPr="007800DD" w:rsidRDefault="001B5315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 w:rsidRPr="007800DD">
              <w:rPr>
                <w:rFonts w:eastAsia="Times New Roman" w:cstheme="minorHAnsi"/>
                <w:lang w:eastAsia="en-GB"/>
              </w:rPr>
              <w:t>Governors who are knowledgeable and skilled in their focus area.</w:t>
            </w:r>
          </w:p>
          <w:p w:rsidR="001B5315" w:rsidRPr="007800DD" w:rsidRDefault="001B5315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 w:rsidRPr="007800D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896" w:type="dxa"/>
            <w:hideMark/>
          </w:tcPr>
          <w:p w:rsidR="00B629F9" w:rsidRPr="007800DD" w:rsidRDefault="001B5315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 w:rsidRPr="007800DD">
              <w:rPr>
                <w:rFonts w:eastAsia="Times New Roman" w:cstheme="minorHAnsi"/>
                <w:lang w:eastAsia="en-GB"/>
              </w:rPr>
              <w:t>Autumn 2018</w:t>
            </w:r>
          </w:p>
          <w:p w:rsidR="00B629F9" w:rsidRPr="007800DD" w:rsidRDefault="00B629F9" w:rsidP="00B629F9">
            <w:pPr>
              <w:rPr>
                <w:rFonts w:eastAsia="Times New Roman" w:cstheme="minorHAnsi"/>
                <w:lang w:eastAsia="en-GB"/>
              </w:rPr>
            </w:pPr>
          </w:p>
          <w:p w:rsidR="00B629F9" w:rsidRPr="007800DD" w:rsidRDefault="00B629F9" w:rsidP="00B629F9">
            <w:pPr>
              <w:rPr>
                <w:rFonts w:eastAsia="Times New Roman" w:cstheme="minorHAnsi"/>
                <w:lang w:eastAsia="en-GB"/>
              </w:rPr>
            </w:pPr>
          </w:p>
          <w:p w:rsidR="00B629F9" w:rsidRPr="007800DD" w:rsidRDefault="00B629F9" w:rsidP="00B629F9">
            <w:pPr>
              <w:rPr>
                <w:rFonts w:eastAsia="Times New Roman" w:cstheme="minorHAnsi"/>
                <w:lang w:eastAsia="en-GB"/>
              </w:rPr>
            </w:pPr>
          </w:p>
          <w:p w:rsidR="00B629F9" w:rsidRPr="007800DD" w:rsidRDefault="00B629F9" w:rsidP="00B629F9">
            <w:pPr>
              <w:rPr>
                <w:rFonts w:eastAsia="Times New Roman" w:cstheme="minorHAnsi"/>
                <w:lang w:eastAsia="en-GB"/>
              </w:rPr>
            </w:pPr>
          </w:p>
          <w:p w:rsidR="00B629F9" w:rsidRPr="007800DD" w:rsidRDefault="00B629F9" w:rsidP="00B629F9">
            <w:pPr>
              <w:rPr>
                <w:rFonts w:eastAsia="Times New Roman" w:cstheme="minorHAnsi"/>
                <w:lang w:eastAsia="en-GB"/>
              </w:rPr>
            </w:pPr>
          </w:p>
          <w:p w:rsidR="00B629F9" w:rsidRPr="007800DD" w:rsidRDefault="00B629F9" w:rsidP="00B629F9">
            <w:pPr>
              <w:rPr>
                <w:rFonts w:eastAsia="Times New Roman" w:cstheme="minorHAnsi"/>
                <w:lang w:eastAsia="en-GB"/>
              </w:rPr>
            </w:pPr>
          </w:p>
          <w:p w:rsidR="001B5315" w:rsidRPr="007800DD" w:rsidRDefault="00B629F9" w:rsidP="00B629F9">
            <w:pPr>
              <w:tabs>
                <w:tab w:val="left" w:pos="1613"/>
              </w:tabs>
              <w:rPr>
                <w:rFonts w:eastAsia="Times New Roman" w:cstheme="minorHAnsi"/>
                <w:lang w:eastAsia="en-GB"/>
              </w:rPr>
            </w:pPr>
            <w:r w:rsidRPr="007800DD">
              <w:rPr>
                <w:rFonts w:eastAsia="Times New Roman" w:cstheme="minorHAnsi"/>
                <w:lang w:eastAsia="en-GB"/>
              </w:rPr>
              <w:tab/>
            </w:r>
          </w:p>
        </w:tc>
        <w:tc>
          <w:tcPr>
            <w:tcW w:w="2753" w:type="dxa"/>
            <w:hideMark/>
          </w:tcPr>
          <w:p w:rsidR="001B5315" w:rsidRPr="007800DD" w:rsidRDefault="001B5315" w:rsidP="001B5315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 w:rsidRPr="007800DD">
              <w:rPr>
                <w:rFonts w:eastAsia="Times New Roman" w:cstheme="minorHAnsi"/>
                <w:lang w:eastAsia="en-GB"/>
              </w:rPr>
              <w:t xml:space="preserve">CoG and HTs to look carefully at skills audit and agree roles and responsibilities based upon this. </w:t>
            </w:r>
          </w:p>
        </w:tc>
        <w:tc>
          <w:tcPr>
            <w:tcW w:w="3407" w:type="dxa"/>
            <w:hideMark/>
          </w:tcPr>
          <w:p w:rsidR="001B5315" w:rsidRPr="007800DD" w:rsidRDefault="001B5315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 w:rsidRPr="007800DD">
              <w:rPr>
                <w:rFonts w:eastAsia="Times New Roman" w:cstheme="minorHAnsi"/>
                <w:lang w:eastAsia="en-GB"/>
              </w:rPr>
              <w:t xml:space="preserve">Governor visits, feedback at governor meetings, questioning and information sharing. </w:t>
            </w:r>
          </w:p>
          <w:p w:rsidR="001B5315" w:rsidRPr="007800DD" w:rsidRDefault="001B5315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 w:rsidRPr="007800DD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B629F9" w:rsidRPr="007800DD" w:rsidTr="00C40199">
        <w:tc>
          <w:tcPr>
            <w:tcW w:w="2555" w:type="dxa"/>
            <w:hideMark/>
          </w:tcPr>
          <w:p w:rsidR="00B629F9" w:rsidRPr="007800DD" w:rsidRDefault="00B629F9" w:rsidP="00C40199">
            <w:pPr>
              <w:spacing w:afterAutospacing="1"/>
              <w:ind w:left="360"/>
              <w:textAlignment w:val="baseline"/>
              <w:rPr>
                <w:rFonts w:cstheme="minorHAnsi"/>
              </w:rPr>
            </w:pPr>
          </w:p>
        </w:tc>
        <w:tc>
          <w:tcPr>
            <w:tcW w:w="3363" w:type="dxa"/>
            <w:hideMark/>
          </w:tcPr>
          <w:p w:rsidR="00B629F9" w:rsidRPr="007800DD" w:rsidRDefault="00B629F9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896" w:type="dxa"/>
            <w:hideMark/>
          </w:tcPr>
          <w:p w:rsidR="00B629F9" w:rsidRPr="007800DD" w:rsidRDefault="00B629F9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753" w:type="dxa"/>
            <w:hideMark/>
          </w:tcPr>
          <w:p w:rsidR="00B629F9" w:rsidRPr="007800DD" w:rsidRDefault="00B629F9" w:rsidP="001B5315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7" w:type="dxa"/>
            <w:hideMark/>
          </w:tcPr>
          <w:p w:rsidR="00B629F9" w:rsidRPr="007800DD" w:rsidRDefault="00B629F9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B629F9" w:rsidRPr="007800DD" w:rsidTr="00C40199">
        <w:tc>
          <w:tcPr>
            <w:tcW w:w="2555" w:type="dxa"/>
            <w:hideMark/>
          </w:tcPr>
          <w:p w:rsidR="00B629F9" w:rsidRPr="007800DD" w:rsidRDefault="00B629F9" w:rsidP="00C40199">
            <w:pPr>
              <w:spacing w:afterAutospacing="1"/>
              <w:ind w:left="360"/>
              <w:textAlignment w:val="baseline"/>
              <w:rPr>
                <w:rFonts w:cstheme="minorHAnsi"/>
              </w:rPr>
            </w:pPr>
          </w:p>
        </w:tc>
        <w:tc>
          <w:tcPr>
            <w:tcW w:w="3363" w:type="dxa"/>
            <w:hideMark/>
          </w:tcPr>
          <w:p w:rsidR="00B629F9" w:rsidRPr="007800DD" w:rsidRDefault="00B629F9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896" w:type="dxa"/>
            <w:hideMark/>
          </w:tcPr>
          <w:p w:rsidR="00B629F9" w:rsidRPr="007800DD" w:rsidRDefault="00B629F9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753" w:type="dxa"/>
            <w:hideMark/>
          </w:tcPr>
          <w:p w:rsidR="00B629F9" w:rsidRPr="007800DD" w:rsidRDefault="00B629F9" w:rsidP="001B5315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7" w:type="dxa"/>
            <w:hideMark/>
          </w:tcPr>
          <w:p w:rsidR="00B629F9" w:rsidRPr="007800DD" w:rsidRDefault="00B629F9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B629F9" w:rsidRPr="007800DD" w:rsidTr="00C40199">
        <w:tc>
          <w:tcPr>
            <w:tcW w:w="2555" w:type="dxa"/>
            <w:hideMark/>
          </w:tcPr>
          <w:p w:rsidR="00B629F9" w:rsidRPr="007800DD" w:rsidRDefault="00B629F9" w:rsidP="00C40199">
            <w:pPr>
              <w:spacing w:afterAutospacing="1"/>
              <w:ind w:left="360"/>
              <w:textAlignment w:val="baseline"/>
              <w:rPr>
                <w:rFonts w:cstheme="minorHAnsi"/>
              </w:rPr>
            </w:pPr>
          </w:p>
        </w:tc>
        <w:tc>
          <w:tcPr>
            <w:tcW w:w="3363" w:type="dxa"/>
            <w:hideMark/>
          </w:tcPr>
          <w:p w:rsidR="00B629F9" w:rsidRPr="007800DD" w:rsidRDefault="00B629F9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896" w:type="dxa"/>
            <w:hideMark/>
          </w:tcPr>
          <w:p w:rsidR="00B629F9" w:rsidRPr="007800DD" w:rsidRDefault="00B629F9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753" w:type="dxa"/>
            <w:hideMark/>
          </w:tcPr>
          <w:p w:rsidR="00B629F9" w:rsidRPr="007800DD" w:rsidRDefault="00B629F9" w:rsidP="001B5315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7" w:type="dxa"/>
            <w:hideMark/>
          </w:tcPr>
          <w:p w:rsidR="00B629F9" w:rsidRPr="007800DD" w:rsidRDefault="00B629F9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7800DD" w:rsidRPr="007800DD" w:rsidTr="007800DD">
        <w:tc>
          <w:tcPr>
            <w:tcW w:w="2555" w:type="dxa"/>
            <w:hideMark/>
          </w:tcPr>
          <w:p w:rsidR="007800DD" w:rsidRPr="007800DD" w:rsidRDefault="007800DD" w:rsidP="007800DD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Establish a strong, time driven and accountable business plan for the year</w:t>
            </w:r>
          </w:p>
          <w:p w:rsidR="007800DD" w:rsidRPr="007800DD" w:rsidRDefault="007800DD" w:rsidP="007800DD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363" w:type="dxa"/>
            <w:hideMark/>
          </w:tcPr>
          <w:p w:rsidR="007800DD" w:rsidRPr="007800DD" w:rsidRDefault="007800DD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Governance that is organised and most effective in its purpose. Governors who are clear in their responsibilities and role in leading the school forward. </w:t>
            </w:r>
          </w:p>
        </w:tc>
        <w:tc>
          <w:tcPr>
            <w:tcW w:w="1896" w:type="dxa"/>
            <w:hideMark/>
          </w:tcPr>
          <w:p w:rsidR="007800DD" w:rsidRPr="007800DD" w:rsidRDefault="007800DD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Autumn 2018</w:t>
            </w:r>
          </w:p>
        </w:tc>
        <w:tc>
          <w:tcPr>
            <w:tcW w:w="2753" w:type="dxa"/>
            <w:hideMark/>
          </w:tcPr>
          <w:p w:rsidR="007800DD" w:rsidRDefault="007800DD" w:rsidP="007800DD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CoG and HTs to draw up together and disseminate to all governors.  </w:t>
            </w:r>
          </w:p>
          <w:p w:rsidR="006744E8" w:rsidRDefault="006744E8" w:rsidP="007800DD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CoG to link with high school CoG to support </w:t>
            </w:r>
            <w:r>
              <w:rPr>
                <w:rFonts w:eastAsia="Times New Roman" w:cstheme="minorHAnsi"/>
                <w:lang w:eastAsia="en-GB"/>
              </w:rPr>
              <w:lastRenderedPageBreak/>
              <w:t>her and to share good practice.</w:t>
            </w:r>
          </w:p>
          <w:p w:rsidR="007800DD" w:rsidRPr="007800DD" w:rsidRDefault="007800DD" w:rsidP="007800DD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7" w:type="dxa"/>
            <w:hideMark/>
          </w:tcPr>
          <w:p w:rsidR="007800DD" w:rsidRPr="007800DD" w:rsidRDefault="007800DD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lastRenderedPageBreak/>
              <w:t xml:space="preserve">CoG to monitor that this is taking place, holding all stakeholders to account for their role in the plan. </w:t>
            </w:r>
          </w:p>
        </w:tc>
      </w:tr>
      <w:tr w:rsidR="007800DD" w:rsidRPr="007800DD" w:rsidTr="007800DD">
        <w:trPr>
          <w:trHeight w:val="1470"/>
        </w:trPr>
        <w:tc>
          <w:tcPr>
            <w:tcW w:w="2555" w:type="dxa"/>
            <w:hideMark/>
          </w:tcPr>
          <w:p w:rsidR="007800DD" w:rsidRPr="007800DD" w:rsidRDefault="007800DD" w:rsidP="007800DD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lastRenderedPageBreak/>
              <w:t>Governor visits to be more effective and have an improved impact; providing a more informed picture of the school's performance.</w:t>
            </w:r>
          </w:p>
          <w:p w:rsidR="007800DD" w:rsidRPr="007800DD" w:rsidRDefault="007800DD" w:rsidP="007800DD">
            <w:pPr>
              <w:tabs>
                <w:tab w:val="left" w:pos="518"/>
              </w:tabs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363" w:type="dxa"/>
            <w:hideMark/>
          </w:tcPr>
          <w:p w:rsidR="002405B5" w:rsidRDefault="002405B5" w:rsidP="002405B5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Governors have a 'triangulated' </w:t>
            </w:r>
            <w:r w:rsidR="007800DD">
              <w:rPr>
                <w:rFonts w:eastAsia="Times New Roman" w:cstheme="minorHAnsi"/>
                <w:lang w:eastAsia="en-GB"/>
              </w:rPr>
              <w:t>understanding of the school</w:t>
            </w:r>
            <w:r>
              <w:rPr>
                <w:rFonts w:eastAsia="Times New Roman" w:cstheme="minorHAnsi"/>
                <w:lang w:eastAsia="en-GB"/>
              </w:rPr>
              <w:t xml:space="preserve">. </w:t>
            </w:r>
          </w:p>
          <w:p w:rsidR="002405B5" w:rsidRDefault="002405B5" w:rsidP="002405B5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Governor visits will be planned out over the year and clearly focused (governor business plan)</w:t>
            </w:r>
          </w:p>
          <w:p w:rsidR="002405B5" w:rsidRDefault="002405B5" w:rsidP="002405B5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Visits will be focused and feedback will be useful for governing board.</w:t>
            </w:r>
          </w:p>
          <w:p w:rsidR="007800DD" w:rsidRPr="007800DD" w:rsidRDefault="002405B5" w:rsidP="002405B5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Visits will lead to debate and discussion to drive further improvement, looking at impact on achievement and standards; and value for money.</w:t>
            </w:r>
          </w:p>
        </w:tc>
        <w:tc>
          <w:tcPr>
            <w:tcW w:w="1896" w:type="dxa"/>
            <w:hideMark/>
          </w:tcPr>
          <w:p w:rsidR="007800DD" w:rsidRPr="007800DD" w:rsidRDefault="00921AA0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Autumn 2018</w:t>
            </w:r>
          </w:p>
        </w:tc>
        <w:tc>
          <w:tcPr>
            <w:tcW w:w="2753" w:type="dxa"/>
            <w:hideMark/>
          </w:tcPr>
          <w:p w:rsidR="002405B5" w:rsidRDefault="002405B5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CoG and HTs: </w:t>
            </w:r>
          </w:p>
          <w:p w:rsidR="002405B5" w:rsidRDefault="002405B5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Governor visits plan to be drawn up as part of business plan.</w:t>
            </w:r>
          </w:p>
          <w:p w:rsidR="002405B5" w:rsidRDefault="002405B5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Governor visits policy to be in place and be working in practice. </w:t>
            </w:r>
          </w:p>
          <w:p w:rsidR="006744E8" w:rsidRDefault="006744E8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HT's to organise LA governor visits training.</w:t>
            </w:r>
          </w:p>
          <w:p w:rsidR="002405B5" w:rsidRDefault="002405B5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="002405B5" w:rsidRPr="007800DD" w:rsidRDefault="002405B5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7" w:type="dxa"/>
            <w:hideMark/>
          </w:tcPr>
          <w:p w:rsidR="007800DD" w:rsidRDefault="002405B5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CoG and HT's to monitor the effectiveness of visits through:</w:t>
            </w:r>
          </w:p>
          <w:p w:rsidR="002405B5" w:rsidRPr="007800DD" w:rsidRDefault="002405B5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Committee and FGB meetings, dialogue between governors and SLT, written feedback (governor visit forms)</w:t>
            </w:r>
          </w:p>
        </w:tc>
      </w:tr>
      <w:tr w:rsidR="007800DD" w:rsidRPr="007800DD" w:rsidTr="007800DD">
        <w:trPr>
          <w:trHeight w:val="1470"/>
        </w:trPr>
        <w:tc>
          <w:tcPr>
            <w:tcW w:w="2555" w:type="dxa"/>
            <w:hideMark/>
          </w:tcPr>
          <w:p w:rsidR="007800DD" w:rsidRPr="007800DD" w:rsidRDefault="001A52BE" w:rsidP="007800DD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Re-</w:t>
            </w:r>
            <w:r w:rsidR="00921AA0">
              <w:rPr>
                <w:rFonts w:eastAsia="Times New Roman" w:cstheme="minorHAnsi"/>
                <w:lang w:eastAsia="en-GB"/>
              </w:rPr>
              <w:t xml:space="preserve">introduce committees to the governing board, ensuring that these are 'useful' and manageable. </w:t>
            </w:r>
          </w:p>
        </w:tc>
        <w:tc>
          <w:tcPr>
            <w:tcW w:w="3363" w:type="dxa"/>
            <w:hideMark/>
          </w:tcPr>
          <w:p w:rsidR="007800DD" w:rsidRDefault="00921AA0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Governors to be working more 'smartly'.</w:t>
            </w:r>
          </w:p>
          <w:p w:rsidR="00921AA0" w:rsidRDefault="00921AA0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Governor influence and role to have increased in terms of more frequent and quality involvement and engagement, </w:t>
            </w:r>
          </w:p>
          <w:p w:rsidR="00921AA0" w:rsidRPr="007800DD" w:rsidRDefault="00921AA0" w:rsidP="00921AA0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This will lead to more knowledgeable and informed governance, who are able to have a strong strategic lead and hold leadership to account.  </w:t>
            </w:r>
          </w:p>
        </w:tc>
        <w:tc>
          <w:tcPr>
            <w:tcW w:w="1896" w:type="dxa"/>
            <w:hideMark/>
          </w:tcPr>
          <w:p w:rsidR="007800DD" w:rsidRPr="007800DD" w:rsidRDefault="00921AA0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Autumn 2018</w:t>
            </w:r>
          </w:p>
        </w:tc>
        <w:tc>
          <w:tcPr>
            <w:tcW w:w="2753" w:type="dxa"/>
            <w:hideMark/>
          </w:tcPr>
          <w:p w:rsidR="007800DD" w:rsidRDefault="00921AA0" w:rsidP="00921AA0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CoG and HT's to draw up committees based on skills</w:t>
            </w:r>
            <w:r w:rsidR="00C04B20">
              <w:rPr>
                <w:rFonts w:eastAsia="Times New Roman" w:cstheme="minorHAnsi"/>
                <w:lang w:eastAsia="en-GB"/>
              </w:rPr>
              <w:t xml:space="preserve">. </w:t>
            </w:r>
          </w:p>
          <w:p w:rsidR="00C04B20" w:rsidRPr="007800DD" w:rsidRDefault="00C04B20" w:rsidP="00921AA0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Committee meetings to be part of business plan, pencilled in for the year. </w:t>
            </w:r>
          </w:p>
        </w:tc>
        <w:tc>
          <w:tcPr>
            <w:tcW w:w="3407" w:type="dxa"/>
            <w:hideMark/>
          </w:tcPr>
          <w:p w:rsidR="007800DD" w:rsidRDefault="00C04B20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CoG and HT's to monitor through:</w:t>
            </w:r>
          </w:p>
          <w:p w:rsidR="00C04B20" w:rsidRPr="007800DD" w:rsidRDefault="00C04B20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FGB feedback-thinking in terms of quality and impact, attendance at committee meetings, minutes of meetings.</w:t>
            </w:r>
          </w:p>
        </w:tc>
      </w:tr>
      <w:tr w:rsidR="007800DD" w:rsidRPr="007800DD" w:rsidTr="007800DD">
        <w:trPr>
          <w:trHeight w:val="1470"/>
        </w:trPr>
        <w:tc>
          <w:tcPr>
            <w:tcW w:w="2555" w:type="dxa"/>
            <w:hideMark/>
          </w:tcPr>
          <w:p w:rsidR="007800DD" w:rsidRPr="007800DD" w:rsidRDefault="00C04B20" w:rsidP="00C40199">
            <w:pPr>
              <w:spacing w:after="100"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lastRenderedPageBreak/>
              <w:t xml:space="preserve">Governors understanding of data and other sources of information relating to performance to have improved. </w:t>
            </w:r>
          </w:p>
        </w:tc>
        <w:tc>
          <w:tcPr>
            <w:tcW w:w="3363" w:type="dxa"/>
            <w:hideMark/>
          </w:tcPr>
          <w:p w:rsidR="007800DD" w:rsidRDefault="00C04B20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Governors are able to interpret, ask questions and challenge in relation to the new Insight tracking system.</w:t>
            </w:r>
          </w:p>
          <w:p w:rsidR="00C04B20" w:rsidRDefault="00C04B20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Governors are able to use other sources of information to challenge and support data picture e.g. holding SLT to account through questionin</w:t>
            </w:r>
            <w:r w:rsidR="001A52BE">
              <w:rPr>
                <w:rFonts w:eastAsia="Times New Roman" w:cstheme="minorHAnsi"/>
                <w:lang w:eastAsia="en-GB"/>
              </w:rPr>
              <w:t xml:space="preserve">g in relation to book scrutiny </w:t>
            </w:r>
            <w:r>
              <w:rPr>
                <w:rFonts w:eastAsia="Times New Roman" w:cstheme="minorHAnsi"/>
                <w:lang w:eastAsia="en-GB"/>
              </w:rPr>
              <w:t xml:space="preserve">and observation and monitoring schedule; as well as through governor conservations with staff, children and parents. </w:t>
            </w:r>
          </w:p>
          <w:p w:rsidR="008C693A" w:rsidRPr="007800DD" w:rsidRDefault="008C693A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Governors have an informed view of school performance and are able to hold leadership to account.</w:t>
            </w:r>
          </w:p>
        </w:tc>
        <w:tc>
          <w:tcPr>
            <w:tcW w:w="1896" w:type="dxa"/>
            <w:hideMark/>
          </w:tcPr>
          <w:p w:rsidR="007800DD" w:rsidRPr="007800DD" w:rsidRDefault="0058409F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Spring 2018</w:t>
            </w:r>
          </w:p>
        </w:tc>
        <w:tc>
          <w:tcPr>
            <w:tcW w:w="2753" w:type="dxa"/>
            <w:hideMark/>
          </w:tcPr>
          <w:p w:rsidR="0058409F" w:rsidRDefault="0058409F" w:rsidP="0058409F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HT's to ensure that data is presented clearly for governors three times per year through HT report and to specific governors throughout the year using a more 'drip feed' approach.</w:t>
            </w:r>
          </w:p>
          <w:p w:rsidR="0058409F" w:rsidRDefault="0058409F" w:rsidP="0058409F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Phase Leads to share their understanding and the picture of their phase with governors 2x per year.</w:t>
            </w:r>
          </w:p>
          <w:p w:rsidR="0058409F" w:rsidRDefault="0058409F" w:rsidP="0058409F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HT's to ensure that governors have a copy of their monitoring schedule, so that governors can ask informed questions.</w:t>
            </w:r>
          </w:p>
          <w:p w:rsidR="007800DD" w:rsidRPr="007800DD" w:rsidRDefault="007800DD" w:rsidP="0058409F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7" w:type="dxa"/>
            <w:hideMark/>
          </w:tcPr>
          <w:p w:rsidR="007800DD" w:rsidRDefault="008C693A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Governor minutes to show good questioning and challenge.</w:t>
            </w:r>
          </w:p>
          <w:p w:rsidR="008C693A" w:rsidRDefault="008C693A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Governor visits to show good engagement with data.</w:t>
            </w:r>
          </w:p>
          <w:p w:rsidR="008C693A" w:rsidRPr="007800DD" w:rsidRDefault="008C693A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7800DD" w:rsidRPr="007800DD" w:rsidTr="007800DD">
        <w:trPr>
          <w:trHeight w:val="1470"/>
        </w:trPr>
        <w:tc>
          <w:tcPr>
            <w:tcW w:w="2555" w:type="dxa"/>
            <w:hideMark/>
          </w:tcPr>
          <w:p w:rsidR="007800DD" w:rsidRPr="007800DD" w:rsidRDefault="00C04B20" w:rsidP="00C40199">
            <w:pPr>
              <w:spacing w:after="100"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Governors to be more visible to school community</w:t>
            </w:r>
            <w:r w:rsidR="008C693A">
              <w:rPr>
                <w:rFonts w:eastAsia="Times New Roman" w:cstheme="minorHAnsi"/>
                <w:lang w:eastAsia="en-GB"/>
              </w:rPr>
              <w:t xml:space="preserve"> (Parent Questionnaire Feedback)</w:t>
            </w:r>
            <w:r>
              <w:rPr>
                <w:rFonts w:eastAsia="Times New Roman" w:cstheme="minorHAnsi"/>
                <w:lang w:eastAsia="en-GB"/>
              </w:rPr>
              <w:t xml:space="preserve">. </w:t>
            </w:r>
          </w:p>
        </w:tc>
        <w:tc>
          <w:tcPr>
            <w:tcW w:w="3363" w:type="dxa"/>
            <w:hideMark/>
          </w:tcPr>
          <w:p w:rsidR="007800DD" w:rsidRPr="007800DD" w:rsidRDefault="008C693A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The school community recognises our governors and has an improved understanding of their role in school leadership.</w:t>
            </w:r>
          </w:p>
        </w:tc>
        <w:tc>
          <w:tcPr>
            <w:tcW w:w="1896" w:type="dxa"/>
            <w:hideMark/>
          </w:tcPr>
          <w:p w:rsidR="007800DD" w:rsidRPr="007800DD" w:rsidRDefault="00DF372B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Summer 2018</w:t>
            </w:r>
          </w:p>
        </w:tc>
        <w:tc>
          <w:tcPr>
            <w:tcW w:w="2753" w:type="dxa"/>
            <w:hideMark/>
          </w:tcPr>
          <w:p w:rsidR="007800DD" w:rsidRDefault="00DF372B" w:rsidP="008C693A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Regular visits and attendance at school events, assemblies and church services.</w:t>
            </w:r>
          </w:p>
          <w:p w:rsidR="00DF372B" w:rsidRDefault="00DF372B" w:rsidP="008C693A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Governors to take an active role in these.</w:t>
            </w:r>
          </w:p>
          <w:p w:rsidR="00DF372B" w:rsidRDefault="00DF372B" w:rsidP="008C693A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Governors to use visits and events to gain </w:t>
            </w:r>
            <w:r>
              <w:rPr>
                <w:rFonts w:eastAsia="Times New Roman" w:cstheme="minorHAnsi"/>
                <w:lang w:eastAsia="en-GB"/>
              </w:rPr>
              <w:lastRenderedPageBreak/>
              <w:t>views from staff, children and parents</w:t>
            </w:r>
          </w:p>
          <w:p w:rsidR="001A52BE" w:rsidRPr="007800DD" w:rsidRDefault="001A52BE" w:rsidP="008C693A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Governors to display ‘profile’ information on school website – photo, skills, experience, committee membership</w:t>
            </w:r>
          </w:p>
        </w:tc>
        <w:tc>
          <w:tcPr>
            <w:tcW w:w="3407" w:type="dxa"/>
            <w:hideMark/>
          </w:tcPr>
          <w:p w:rsidR="007800DD" w:rsidRPr="007800DD" w:rsidRDefault="007800DD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8C693A" w:rsidRPr="007800DD" w:rsidTr="007800DD">
        <w:trPr>
          <w:trHeight w:val="1470"/>
        </w:trPr>
        <w:tc>
          <w:tcPr>
            <w:tcW w:w="2555" w:type="dxa"/>
            <w:hideMark/>
          </w:tcPr>
          <w:p w:rsidR="008C693A" w:rsidRDefault="008C693A" w:rsidP="008C693A">
            <w:pPr>
              <w:spacing w:after="100"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lastRenderedPageBreak/>
              <w:t>Governors have an active and improving role in school development.</w:t>
            </w:r>
          </w:p>
        </w:tc>
        <w:tc>
          <w:tcPr>
            <w:tcW w:w="3363" w:type="dxa"/>
            <w:hideMark/>
          </w:tcPr>
          <w:p w:rsidR="008C693A" w:rsidRDefault="008C693A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The school is being driven forward, with a clear vision for the future. </w:t>
            </w:r>
          </w:p>
          <w:p w:rsidR="008C693A" w:rsidRDefault="008C693A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Standards are improving and this can be linked back to strong governance (challenge and support).</w:t>
            </w:r>
          </w:p>
          <w:p w:rsidR="008C693A" w:rsidRDefault="008C693A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Governors are more knowledgeable in terms of school development and contribute to this.</w:t>
            </w:r>
          </w:p>
          <w:p w:rsidR="008C693A" w:rsidRDefault="008C693A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Governors are able to invest in the right things, linked to school development priorities. </w:t>
            </w:r>
          </w:p>
        </w:tc>
        <w:tc>
          <w:tcPr>
            <w:tcW w:w="1896" w:type="dxa"/>
            <w:hideMark/>
          </w:tcPr>
          <w:p w:rsidR="008C693A" w:rsidRPr="007800DD" w:rsidRDefault="008C693A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Summer 2018</w:t>
            </w:r>
          </w:p>
        </w:tc>
        <w:tc>
          <w:tcPr>
            <w:tcW w:w="2753" w:type="dxa"/>
            <w:hideMark/>
          </w:tcPr>
          <w:p w:rsidR="008C693A" w:rsidRDefault="008C693A" w:rsidP="008C693A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Regular curriculum committee meetings (3 x per year), focused around RAP/SDP priorities and pupil standards.</w:t>
            </w:r>
          </w:p>
          <w:p w:rsidR="008C693A" w:rsidRDefault="008C693A" w:rsidP="008C693A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RAP/SDP on agenda at every governor meeting.</w:t>
            </w:r>
          </w:p>
          <w:p w:rsidR="008C693A" w:rsidRDefault="008C693A" w:rsidP="008C693A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Governor visits linked to RAP/SDP priorities.</w:t>
            </w:r>
          </w:p>
          <w:p w:rsidR="00DF372B" w:rsidRDefault="001A52BE" w:rsidP="008C693A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Use of ‘ Three</w:t>
            </w:r>
            <w:r w:rsidR="00DF372B">
              <w:rPr>
                <w:rFonts w:eastAsia="Times New Roman" w:cstheme="minorHAnsi"/>
                <w:lang w:eastAsia="en-GB"/>
              </w:rPr>
              <w:t xml:space="preserve">stars and a wish' to learn more from staff, children and parents as to how well the school are doing and what could be improved further.  </w:t>
            </w:r>
          </w:p>
          <w:p w:rsidR="008C693A" w:rsidRDefault="008C693A" w:rsidP="008C693A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="008C693A" w:rsidRPr="007800DD" w:rsidRDefault="008C693A" w:rsidP="008C693A">
            <w:pPr>
              <w:spacing w:afterAutospacing="1"/>
              <w:ind w:left="36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07" w:type="dxa"/>
            <w:hideMark/>
          </w:tcPr>
          <w:p w:rsidR="008C693A" w:rsidRPr="007800DD" w:rsidRDefault="008C693A" w:rsidP="00C40199">
            <w:pPr>
              <w:spacing w:afterAutospacing="1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</w:tbl>
    <w:p w:rsidR="001B5315" w:rsidRPr="001B5315" w:rsidRDefault="001B5315" w:rsidP="001B5315">
      <w:pPr>
        <w:ind w:firstLine="720"/>
      </w:pPr>
      <w:bookmarkStart w:id="0" w:name="_GoBack"/>
      <w:bookmarkEnd w:id="0"/>
    </w:p>
    <w:sectPr w:rsidR="001B5315" w:rsidRPr="001B5315" w:rsidSect="001B53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265" w:rsidRDefault="00326265" w:rsidP="001B5315">
      <w:pPr>
        <w:spacing w:after="0" w:line="240" w:lineRule="auto"/>
      </w:pPr>
      <w:r>
        <w:separator/>
      </w:r>
    </w:p>
  </w:endnote>
  <w:endnote w:type="continuationSeparator" w:id="1">
    <w:p w:rsidR="00326265" w:rsidRDefault="00326265" w:rsidP="001B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265" w:rsidRDefault="00326265" w:rsidP="001B5315">
      <w:pPr>
        <w:spacing w:after="0" w:line="240" w:lineRule="auto"/>
      </w:pPr>
      <w:r>
        <w:separator/>
      </w:r>
    </w:p>
  </w:footnote>
  <w:footnote w:type="continuationSeparator" w:id="1">
    <w:p w:rsidR="00326265" w:rsidRDefault="00326265" w:rsidP="001B5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59"/>
    <w:multiLevelType w:val="multilevel"/>
    <w:tmpl w:val="3EA2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F34E5"/>
    <w:multiLevelType w:val="multilevel"/>
    <w:tmpl w:val="FD2C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B65AE"/>
    <w:multiLevelType w:val="multilevel"/>
    <w:tmpl w:val="3E10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4A60C6"/>
    <w:multiLevelType w:val="multilevel"/>
    <w:tmpl w:val="8856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6B6646"/>
    <w:multiLevelType w:val="multilevel"/>
    <w:tmpl w:val="92F8D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525DF"/>
    <w:multiLevelType w:val="hybridMultilevel"/>
    <w:tmpl w:val="2A22E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81012"/>
    <w:multiLevelType w:val="multilevel"/>
    <w:tmpl w:val="6C36C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A3EED"/>
    <w:multiLevelType w:val="multilevel"/>
    <w:tmpl w:val="9086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E54012"/>
    <w:multiLevelType w:val="hybridMultilevel"/>
    <w:tmpl w:val="50B8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E2BDC"/>
    <w:multiLevelType w:val="multilevel"/>
    <w:tmpl w:val="CAD4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315"/>
    <w:rsid w:val="00024ED2"/>
    <w:rsid w:val="001A52BE"/>
    <w:rsid w:val="001B5315"/>
    <w:rsid w:val="002405B5"/>
    <w:rsid w:val="00326265"/>
    <w:rsid w:val="004C703A"/>
    <w:rsid w:val="0058409F"/>
    <w:rsid w:val="006744E8"/>
    <w:rsid w:val="006E7094"/>
    <w:rsid w:val="0074602E"/>
    <w:rsid w:val="007800DD"/>
    <w:rsid w:val="007B7AD0"/>
    <w:rsid w:val="008C693A"/>
    <w:rsid w:val="00921AA0"/>
    <w:rsid w:val="00B208CC"/>
    <w:rsid w:val="00B629F9"/>
    <w:rsid w:val="00C04B20"/>
    <w:rsid w:val="00DF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315"/>
  </w:style>
  <w:style w:type="paragraph" w:styleId="Footer">
    <w:name w:val="footer"/>
    <w:basedOn w:val="Normal"/>
    <w:link w:val="FooterChar"/>
    <w:uiPriority w:val="99"/>
    <w:semiHidden/>
    <w:unhideWhenUsed/>
    <w:rsid w:val="001B5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315"/>
  </w:style>
  <w:style w:type="table" w:styleId="TableGrid">
    <w:name w:val="Table Grid"/>
    <w:basedOn w:val="TableNormal"/>
    <w:uiPriority w:val="59"/>
    <w:rsid w:val="001B5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honkytonkhank</dc:creator>
  <cp:lastModifiedBy>honkytonkhank</cp:lastModifiedBy>
  <cp:revision>2</cp:revision>
  <dcterms:created xsi:type="dcterms:W3CDTF">2019-01-06T08:45:00Z</dcterms:created>
  <dcterms:modified xsi:type="dcterms:W3CDTF">2019-01-06T08:45:00Z</dcterms:modified>
</cp:coreProperties>
</file>